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R4-2205404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LBT impacts on RRM for NR systems extended to 71 GHz</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10.16.8.6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pStyle w:val="36"/>
        <w:numPr>
          <w:ilvl w:val="0"/>
          <w:numId w:val="0"/>
        </w:numPr>
        <w:ind w:leftChars="0"/>
        <w:rPr>
          <w:rFonts w:hint="default"/>
          <w:b w:val="0"/>
          <w:bCs/>
          <w:sz w:val="22"/>
          <w:szCs w:val="22"/>
          <w:lang w:val="en-US" w:eastAsia="zh-CN"/>
        </w:rPr>
      </w:pPr>
      <w:r>
        <w:rPr>
          <w:rFonts w:hint="eastAsia" w:eastAsia="宋体"/>
          <w:b w:val="0"/>
          <w:bCs/>
          <w:sz w:val="22"/>
          <w:szCs w:val="22"/>
          <w:lang w:val="en-US" w:eastAsia="zh-CN"/>
        </w:rPr>
        <w:t>In RAN4 101-e-bis, some</w:t>
      </w:r>
      <w:r>
        <w:rPr>
          <w:rFonts w:hint="eastAsia"/>
          <w:b w:val="0"/>
          <w:bCs/>
          <w:sz w:val="22"/>
          <w:szCs w:val="22"/>
          <w:lang w:val="en-US" w:eastAsia="zh-CN"/>
        </w:rPr>
        <w:t xml:space="preserve"> preliminary discussions on LBT impact to RRM are triggered. This is because in some regions LBT is mandated, also there is already RAN1 design mandating this feature. Some agreements are captured in the WF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6"/>
              <w:numPr>
                <w:ilvl w:val="0"/>
                <w:numId w:val="6"/>
              </w:numPr>
              <w:spacing w:before="240" w:after="240"/>
              <w:ind w:left="714" w:hanging="357"/>
              <w:contextualSpacing w:val="0"/>
            </w:pPr>
            <w:r>
              <w:t>Adopt the relaxation methods used in NR-U (core requirements are extended to compensate the missed samples) as a baseline</w:t>
            </w:r>
          </w:p>
          <w:p>
            <w:pPr>
              <w:pStyle w:val="26"/>
              <w:numPr>
                <w:ilvl w:val="0"/>
                <w:numId w:val="6"/>
              </w:numPr>
              <w:spacing w:before="240" w:after="240"/>
              <w:ind w:left="714" w:hanging="357"/>
              <w:contextualSpacing w:val="0"/>
            </w:pPr>
            <w:r>
              <w:t>RAN4 will reflect the LBT failures by extending the RRM requirements by N*SMTC/SSB occasions when there is at least one SMTC/SSB occasion not available at UE within N*SMTC/SSB occasions, where N is:</w:t>
            </w:r>
          </w:p>
          <w:p>
            <w:pPr>
              <w:pStyle w:val="26"/>
              <w:numPr>
                <w:ilvl w:val="1"/>
                <w:numId w:val="6"/>
              </w:numPr>
              <w:spacing w:before="240" w:after="240"/>
              <w:ind w:left="1434" w:hanging="357"/>
              <w:contextualSpacing w:val="0"/>
            </w:pPr>
            <w:r>
              <w:t>Option 1: N is equal to the RX beams sweeping scaling factor</w:t>
            </w:r>
          </w:p>
          <w:p>
            <w:pPr>
              <w:pStyle w:val="26"/>
              <w:numPr>
                <w:ilvl w:val="1"/>
                <w:numId w:val="6"/>
              </w:numPr>
              <w:spacing w:before="240" w:after="240"/>
              <w:ind w:left="1434" w:hanging="357"/>
              <w:contextualSpacing w:val="0"/>
              <w:rPr>
                <w:rFonts w:hint="eastAsia"/>
                <w:vertAlign w:val="baseline"/>
                <w:lang w:val="en-US" w:eastAsia="zh-CN"/>
              </w:rPr>
            </w:pPr>
            <w:r>
              <w:t>Option 2: N is defined on case-by-case basis</w:t>
            </w:r>
          </w:p>
          <w:p>
            <w:pPr>
              <w:pStyle w:val="26"/>
              <w:numPr>
                <w:ilvl w:val="1"/>
                <w:numId w:val="6"/>
              </w:numPr>
              <w:spacing w:before="240" w:after="240"/>
              <w:ind w:left="1434" w:hanging="357"/>
              <w:contextualSpacing w:val="0"/>
              <w:rPr>
                <w:rFonts w:hint="eastAsia"/>
                <w:vertAlign w:val="baseline"/>
                <w:lang w:val="en-US" w:eastAsia="zh-CN"/>
              </w:rPr>
            </w:pPr>
            <w:r>
              <w:t>Other options are not precluded</w:t>
            </w:r>
          </w:p>
        </w:tc>
      </w:tr>
    </w:tbl>
    <w:p>
      <w:pPr>
        <w:rPr>
          <w:rFonts w:hint="default"/>
          <w:lang w:val="en-US" w:eastAsia="zh-CN"/>
        </w:rPr>
      </w:pPr>
      <w:r>
        <w:rPr>
          <w:rFonts w:hint="eastAsia"/>
          <w:b w:val="0"/>
          <w:bCs/>
          <w:sz w:val="22"/>
          <w:szCs w:val="22"/>
          <w:lang w:val="en-US" w:eastAsia="zh-CN"/>
        </w:rPr>
        <w:t>In this paper, we provide some of our thinking on how to specify requirements related to LBT.</w:t>
      </w:r>
    </w:p>
    <w:p>
      <w:pPr>
        <w:pStyle w:val="28"/>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LBT operation is first introduced by LTE LAA and the NR-U. The main idea is that when using unlicensed bands, to ensure the fair use of the spectrum, transmissions can only take place when the channel is clear. The introduction of CCA impacts many aspects of RRM, since a lot of RRM procedures relies on transmission of downlink reference signals (such as SSB), which may not be transmitted due to failed CCA.</w:t>
      </w:r>
    </w:p>
    <w:p>
      <w:pPr>
        <w:rPr>
          <w:rFonts w:hint="default" w:eastAsia="宋体"/>
          <w:sz w:val="22"/>
          <w:szCs w:val="22"/>
          <w:lang w:val="en-US" w:eastAsia="zh-CN"/>
        </w:rPr>
      </w:pPr>
      <w:r>
        <w:rPr>
          <w:rFonts w:hint="eastAsia" w:eastAsia="宋体"/>
          <w:sz w:val="22"/>
          <w:szCs w:val="22"/>
          <w:lang w:val="en-US" w:eastAsia="zh-CN"/>
        </w:rPr>
        <w:t>In the WI of NR-U, RAN4 has already developed a comprehensive set of requirements, dealing with the impact to RRM requirements. Usually what is done is that the core requirements are extended by the missed samples. In general, we think that the approach used in NR-U can be adopted here and use as a baseline, and this is already agreed by the last meeting. The detailed relaxation methods can be discussed with each draft CR preparation.</w:t>
      </w:r>
    </w:p>
    <w:p>
      <w:pPr>
        <w:rPr>
          <w:rFonts w:hint="default" w:eastAsia="宋体"/>
          <w:sz w:val="22"/>
          <w:szCs w:val="22"/>
          <w:lang w:val="en-US" w:eastAsia="zh-CN"/>
        </w:rPr>
      </w:pPr>
      <w:r>
        <w:rPr>
          <w:rFonts w:hint="eastAsia" w:eastAsia="宋体"/>
          <w:sz w:val="22"/>
          <w:szCs w:val="22"/>
          <w:lang w:val="en-US" w:eastAsia="zh-CN"/>
        </w:rPr>
        <w:t>Another issue is how to choose the value of N, as listed as an open issue in the WF [1]. Here we think option 1 can be adopted as a general principle, while if for some specific cases the group observes any special issues, we can further discuss. Missing one SSB would usually mean that the UE cannot monitor it at least for the rest of beam sweeping cycle, so N equaling to Rx beam sweeping factor makes sense.</w:t>
      </w:r>
    </w:p>
    <w:p>
      <w:pPr>
        <w:pStyle w:val="36"/>
        <w:rPr>
          <w:rFonts w:hint="default" w:eastAsia="宋体"/>
          <w:sz w:val="22"/>
          <w:szCs w:val="22"/>
          <w:lang w:val="en-US" w:eastAsia="zh-CN"/>
        </w:rPr>
      </w:pPr>
      <w:r>
        <w:t>RAN4 will reflect the LBT failures by extending the RRM requirements by N*SMTC/SSB occasions when there is at least one SMTC/SSB occasion not available at UE within N*SMTC/SSB occasions,</w:t>
      </w:r>
      <w:r>
        <w:rPr>
          <w:rFonts w:hint="eastAsia" w:eastAsia="宋体"/>
          <w:lang w:val="en-US" w:eastAsia="zh-CN"/>
        </w:rPr>
        <w:t xml:space="preserve"> where </w:t>
      </w:r>
      <w:r>
        <w:t>N</w:t>
      </w:r>
      <w:r>
        <w:rPr>
          <w:rFonts w:hint="eastAsia" w:eastAsia="宋体"/>
          <w:lang w:val="en-US" w:eastAsia="zh-CN"/>
        </w:rPr>
        <w:t xml:space="preserve"> </w:t>
      </w:r>
      <w:r>
        <w:t>equal</w:t>
      </w:r>
      <w:r>
        <w:rPr>
          <w:rFonts w:hint="eastAsia" w:eastAsia="宋体"/>
          <w:lang w:val="en-US" w:eastAsia="zh-CN"/>
        </w:rPr>
        <w:t>s</w:t>
      </w:r>
      <w:r>
        <w:t xml:space="preserve"> to the RX beams sweeping scaling factor</w:t>
      </w:r>
      <w:r>
        <w:rPr>
          <w:rFonts w:hint="eastAsia" w:eastAsia="宋体"/>
          <w:lang w:val="en-US" w:eastAsia="zh-CN"/>
        </w:rPr>
        <w:t xml:space="preserve"> is adopted as the baseline</w:t>
      </w:r>
      <w:r>
        <w:rPr>
          <w:rFonts w:hint="eastAsia" w:eastAsia="宋体"/>
          <w:sz w:val="22"/>
          <w:szCs w:val="22"/>
          <w:lang w:val="en-US" w:eastAsia="zh-CN"/>
        </w:rPr>
        <w:t>.</w:t>
      </w:r>
    </w:p>
    <w:p>
      <w:pPr>
        <w:pStyle w:val="28"/>
        <w:jc w:val="both"/>
        <w:rPr>
          <w:rFonts w:hint="eastAsia"/>
          <w:lang w:val="en-US" w:eastAsia="zh-CN"/>
        </w:rPr>
      </w:pPr>
    </w:p>
    <w:p>
      <w:pPr>
        <w:pStyle w:val="28"/>
        <w:jc w:val="both"/>
      </w:pPr>
      <w:r>
        <w:rPr>
          <w:rFonts w:hint="eastAsia"/>
          <w:lang w:val="en-US" w:eastAsia="zh-CN"/>
        </w:rPr>
        <w:t>3</w:t>
      </w:r>
      <w:r>
        <w:tab/>
      </w:r>
      <w:r>
        <w:t>Conclusion</w:t>
      </w:r>
    </w:p>
    <w:p>
      <w:pPr>
        <w:rPr>
          <w:rFonts w:hint="eastAsia"/>
          <w:b/>
          <w:bCs w:val="0"/>
          <w:lang w:val="en-US" w:eastAsia="zh-CN"/>
        </w:rPr>
      </w:pPr>
      <w:r>
        <w:rPr>
          <w:rFonts w:hint="eastAsia"/>
          <w:b/>
          <w:bCs w:val="0"/>
          <w:sz w:val="22"/>
          <w:szCs w:val="22"/>
          <w:lang w:val="en-US" w:eastAsia="zh-CN"/>
        </w:rPr>
        <w:t xml:space="preserve">Proposal 1: </w:t>
      </w:r>
      <w:r>
        <w:rPr>
          <w:b/>
          <w:bCs w:val="0"/>
          <w:sz w:val="22"/>
          <w:szCs w:val="22"/>
        </w:rPr>
        <w:t>RAN4 will reflect the LBT failures by extending the RRM requirements by N*SMTC/SSB occasions when there is at least one SMTC/SSB occasion not available at UE within N*SMTC/SSB occasions,</w:t>
      </w:r>
      <w:r>
        <w:rPr>
          <w:rFonts w:hint="eastAsia" w:eastAsia="宋体"/>
          <w:b/>
          <w:bCs w:val="0"/>
          <w:sz w:val="22"/>
          <w:szCs w:val="22"/>
          <w:lang w:val="en-US" w:eastAsia="zh-CN"/>
        </w:rPr>
        <w:t xml:space="preserve"> where </w:t>
      </w:r>
      <w:r>
        <w:rPr>
          <w:b/>
          <w:bCs w:val="0"/>
          <w:sz w:val="22"/>
          <w:szCs w:val="22"/>
        </w:rPr>
        <w:t>N</w:t>
      </w:r>
      <w:r>
        <w:rPr>
          <w:rFonts w:hint="eastAsia" w:eastAsia="宋体"/>
          <w:b/>
          <w:bCs w:val="0"/>
          <w:sz w:val="22"/>
          <w:szCs w:val="22"/>
          <w:lang w:val="en-US" w:eastAsia="zh-CN"/>
        </w:rPr>
        <w:t xml:space="preserve"> </w:t>
      </w:r>
      <w:r>
        <w:rPr>
          <w:b/>
          <w:bCs w:val="0"/>
          <w:sz w:val="22"/>
          <w:szCs w:val="22"/>
        </w:rPr>
        <w:t>equal</w:t>
      </w:r>
      <w:r>
        <w:rPr>
          <w:rFonts w:hint="eastAsia" w:eastAsia="宋体"/>
          <w:b/>
          <w:bCs w:val="0"/>
          <w:sz w:val="22"/>
          <w:szCs w:val="22"/>
          <w:lang w:val="en-US" w:eastAsia="zh-CN"/>
        </w:rPr>
        <w:t>s</w:t>
      </w:r>
      <w:r>
        <w:rPr>
          <w:b/>
          <w:bCs w:val="0"/>
          <w:sz w:val="22"/>
          <w:szCs w:val="22"/>
        </w:rPr>
        <w:t xml:space="preserve"> to the RX beams sweeping scaling factor</w:t>
      </w:r>
      <w:r>
        <w:rPr>
          <w:rFonts w:hint="eastAsia" w:eastAsia="宋体"/>
          <w:b/>
          <w:bCs w:val="0"/>
          <w:sz w:val="22"/>
          <w:szCs w:val="22"/>
          <w:lang w:val="en-US" w:eastAsia="zh-CN"/>
        </w:rPr>
        <w:t xml:space="preserve"> is adopted as the baseline.</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R4-2202659</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18258D"/>
    <w:multiLevelType w:val="multilevel"/>
    <w:tmpl w:val="611825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D1E31"/>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2D477EA"/>
    <w:rsid w:val="030809EC"/>
    <w:rsid w:val="037A379D"/>
    <w:rsid w:val="039A1BDA"/>
    <w:rsid w:val="03AE4991"/>
    <w:rsid w:val="03C6506D"/>
    <w:rsid w:val="03F37217"/>
    <w:rsid w:val="046B1F2F"/>
    <w:rsid w:val="04C77D0A"/>
    <w:rsid w:val="04D5204C"/>
    <w:rsid w:val="051F0641"/>
    <w:rsid w:val="059B61E4"/>
    <w:rsid w:val="05A86143"/>
    <w:rsid w:val="05D42FA6"/>
    <w:rsid w:val="06105DAC"/>
    <w:rsid w:val="065133C1"/>
    <w:rsid w:val="066957D5"/>
    <w:rsid w:val="068A29F7"/>
    <w:rsid w:val="069766CC"/>
    <w:rsid w:val="07432934"/>
    <w:rsid w:val="07502CA2"/>
    <w:rsid w:val="078B76F8"/>
    <w:rsid w:val="07962A3C"/>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04013C"/>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4C276D"/>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1D2A9E"/>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2F30C34"/>
    <w:rsid w:val="231C53C0"/>
    <w:rsid w:val="23514077"/>
    <w:rsid w:val="23855295"/>
    <w:rsid w:val="23B20773"/>
    <w:rsid w:val="23CF6D67"/>
    <w:rsid w:val="23D517A2"/>
    <w:rsid w:val="23D81EA9"/>
    <w:rsid w:val="23FF1EED"/>
    <w:rsid w:val="248F188B"/>
    <w:rsid w:val="24BD0518"/>
    <w:rsid w:val="24E91488"/>
    <w:rsid w:val="25077EC5"/>
    <w:rsid w:val="256A021C"/>
    <w:rsid w:val="25962669"/>
    <w:rsid w:val="259B681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451F7"/>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15FCC"/>
    <w:rsid w:val="320F0A18"/>
    <w:rsid w:val="3231725B"/>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609585B"/>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AF0AEF"/>
    <w:rsid w:val="3AC125B3"/>
    <w:rsid w:val="3AF216E5"/>
    <w:rsid w:val="3B0B15C3"/>
    <w:rsid w:val="3B0F491B"/>
    <w:rsid w:val="3B164016"/>
    <w:rsid w:val="3B30671A"/>
    <w:rsid w:val="3B5662AC"/>
    <w:rsid w:val="3B981241"/>
    <w:rsid w:val="3B9F08A7"/>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37291"/>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682125"/>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2E4F85"/>
    <w:rsid w:val="51773E2A"/>
    <w:rsid w:val="51806151"/>
    <w:rsid w:val="51A40397"/>
    <w:rsid w:val="51C53170"/>
    <w:rsid w:val="52012FAC"/>
    <w:rsid w:val="5280421D"/>
    <w:rsid w:val="52BF27F0"/>
    <w:rsid w:val="53005665"/>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5D3BDD"/>
    <w:rsid w:val="55B42DC5"/>
    <w:rsid w:val="55C82763"/>
    <w:rsid w:val="561E43E8"/>
    <w:rsid w:val="56243301"/>
    <w:rsid w:val="56565F98"/>
    <w:rsid w:val="567B20DA"/>
    <w:rsid w:val="56943FE8"/>
    <w:rsid w:val="56DA5A5F"/>
    <w:rsid w:val="57045299"/>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9620C9"/>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821806"/>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EFB363D"/>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892276"/>
    <w:rsid w:val="72D71CC1"/>
    <w:rsid w:val="72EE3608"/>
    <w:rsid w:val="72F37E30"/>
    <w:rsid w:val="72FB5D9F"/>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58973BD"/>
    <w:rsid w:val="762B3711"/>
    <w:rsid w:val="76696B17"/>
    <w:rsid w:val="76696D01"/>
    <w:rsid w:val="76991F3B"/>
    <w:rsid w:val="76B94BAA"/>
    <w:rsid w:val="76BD4E1F"/>
    <w:rsid w:val="76D8737F"/>
    <w:rsid w:val="76E279D7"/>
    <w:rsid w:val="7718204C"/>
    <w:rsid w:val="772E0626"/>
    <w:rsid w:val="77303683"/>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CC13B3"/>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 w:val="7F995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2022-02-14T15:10:15Z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